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141EC2">
      <w:pPr>
        <w:widowControl/>
        <w:jc w:val="left"/>
        <w:rPr>
          <w:rFonts w:ascii="黑体" w:hAnsi="黑体" w:eastAsia="黑体" w:cs="宋体"/>
          <w:color w:val="333333"/>
          <w:sz w:val="32"/>
          <w:szCs w:val="32"/>
          <w:lang w:bidi="ar"/>
        </w:rPr>
      </w:pPr>
      <w:r>
        <w:rPr>
          <w:rFonts w:hint="eastAsia" w:ascii="黑体" w:hAnsi="黑体" w:eastAsia="黑体" w:cs="宋体"/>
          <w:color w:val="333333"/>
          <w:sz w:val="32"/>
          <w:szCs w:val="32"/>
          <w:lang w:bidi="ar"/>
        </w:rPr>
        <w:t>附件4：</w:t>
      </w:r>
    </w:p>
    <w:p w14:paraId="72FFA5BE">
      <w:pPr>
        <w:spacing w:line="540" w:lineRule="exact"/>
        <w:jc w:val="center"/>
        <w:rPr>
          <w:rFonts w:ascii="方正小标宋_GBK" w:hAnsi="华文中宋" w:eastAsia="方正小标宋_GBK" w:cs="宋体"/>
          <w:b/>
          <w:kern w:val="0"/>
          <w:sz w:val="48"/>
          <w:szCs w:val="48"/>
        </w:rPr>
      </w:pPr>
    </w:p>
    <w:p w14:paraId="06466CD0">
      <w:pPr>
        <w:spacing w:line="540" w:lineRule="exact"/>
        <w:jc w:val="center"/>
        <w:rPr>
          <w:rFonts w:ascii="方正小标宋_GBK" w:hAnsi="华文中宋" w:eastAsia="方正小标宋_GBK" w:cs="宋体"/>
          <w:b/>
          <w:kern w:val="0"/>
          <w:sz w:val="48"/>
          <w:szCs w:val="48"/>
        </w:rPr>
      </w:pPr>
    </w:p>
    <w:p w14:paraId="2648EE95">
      <w:pPr>
        <w:spacing w:line="540" w:lineRule="exact"/>
        <w:jc w:val="center"/>
        <w:rPr>
          <w:rFonts w:ascii="方正小标宋_GBK" w:hAnsi="华文中宋" w:eastAsia="方正小标宋_GBK" w:cs="宋体"/>
          <w:b/>
          <w:kern w:val="0"/>
          <w:sz w:val="48"/>
          <w:szCs w:val="48"/>
        </w:rPr>
      </w:pPr>
    </w:p>
    <w:p w14:paraId="1754FD5B">
      <w:pPr>
        <w:spacing w:line="540" w:lineRule="exact"/>
        <w:jc w:val="center"/>
        <w:rPr>
          <w:rFonts w:hint="eastAsia" w:ascii="方正小标宋_GBK" w:hAnsi="华文中宋" w:eastAsia="方正小标宋_GBK" w:cs="宋体"/>
          <w:b/>
          <w:kern w:val="0"/>
          <w:sz w:val="48"/>
          <w:szCs w:val="48"/>
          <w:lang w:val="en-US" w:eastAsia="zh-CN"/>
        </w:rPr>
      </w:pPr>
      <w:r>
        <w:rPr>
          <w:rFonts w:hint="eastAsia" w:ascii="方正小标宋_GBK" w:hAnsi="华文中宋" w:eastAsia="方正小标宋_GBK" w:cs="宋体"/>
          <w:b/>
          <w:kern w:val="0"/>
          <w:sz w:val="48"/>
          <w:szCs w:val="48"/>
          <w:lang w:val="en-US" w:eastAsia="zh-CN"/>
        </w:rPr>
        <w:t xml:space="preserve"> </w:t>
      </w:r>
    </w:p>
    <w:p w14:paraId="7E6F418E">
      <w:pPr>
        <w:spacing w:line="540" w:lineRule="exact"/>
        <w:jc w:val="center"/>
        <w:rPr>
          <w:rFonts w:ascii="方正小标宋_GBK" w:hAnsi="华文中宋" w:eastAsia="方正小标宋_GBK" w:cs="宋体"/>
          <w:b/>
          <w:kern w:val="0"/>
          <w:sz w:val="48"/>
          <w:szCs w:val="48"/>
        </w:rPr>
      </w:pPr>
    </w:p>
    <w:p w14:paraId="30C7E77D">
      <w:pPr>
        <w:spacing w:line="540" w:lineRule="exact"/>
        <w:jc w:val="center"/>
        <w:rPr>
          <w:rFonts w:ascii="方正小标宋_GBK" w:hAnsi="华文中宋" w:eastAsia="方正小标宋_GBK" w:cs="宋体"/>
          <w:b/>
          <w:kern w:val="0"/>
          <w:sz w:val="48"/>
          <w:szCs w:val="48"/>
        </w:rPr>
      </w:pPr>
    </w:p>
    <w:p w14:paraId="60DD66B7">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自治区本级部门单位整体支出绩效</w:t>
      </w:r>
    </w:p>
    <w:p w14:paraId="53B1F1AE">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自评报告</w:t>
      </w:r>
    </w:p>
    <w:p w14:paraId="0122F192">
      <w:pPr>
        <w:spacing w:line="540" w:lineRule="exact"/>
        <w:jc w:val="center"/>
        <w:rPr>
          <w:rFonts w:ascii="华文中宋" w:hAnsi="华文中宋" w:eastAsia="华文中宋" w:cs="宋体"/>
          <w:b/>
          <w:kern w:val="0"/>
          <w:sz w:val="52"/>
          <w:szCs w:val="52"/>
        </w:rPr>
      </w:pPr>
    </w:p>
    <w:p w14:paraId="3E5FB17C">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int="eastAsia" w:ascii="仿宋_GB2312" w:hAnsi="宋体" w:eastAsia="仿宋_GB2312"/>
          <w:b/>
          <w:sz w:val="32"/>
          <w:szCs w:val="32"/>
        </w:rPr>
        <w:t>2024</w:t>
      </w:r>
      <w:r>
        <w:rPr>
          <w:rFonts w:hint="eastAsia" w:hAnsi="宋体" w:eastAsia="仿宋_GB2312" w:cs="宋体"/>
          <w:kern w:val="0"/>
          <w:sz w:val="36"/>
          <w:szCs w:val="36"/>
        </w:rPr>
        <w:t>年度）</w:t>
      </w:r>
    </w:p>
    <w:p w14:paraId="59464A62">
      <w:pPr>
        <w:spacing w:line="540" w:lineRule="exact"/>
        <w:jc w:val="center"/>
        <w:rPr>
          <w:rFonts w:hAnsi="宋体" w:eastAsia="仿宋_GB2312" w:cs="宋体"/>
          <w:kern w:val="0"/>
          <w:sz w:val="30"/>
          <w:szCs w:val="30"/>
        </w:rPr>
      </w:pPr>
    </w:p>
    <w:p w14:paraId="1B5BEAA6">
      <w:pPr>
        <w:spacing w:line="540" w:lineRule="exact"/>
        <w:jc w:val="center"/>
        <w:rPr>
          <w:rFonts w:hAnsi="宋体" w:eastAsia="仿宋_GB2312" w:cs="宋体"/>
          <w:kern w:val="0"/>
          <w:sz w:val="30"/>
          <w:szCs w:val="30"/>
        </w:rPr>
      </w:pPr>
    </w:p>
    <w:p w14:paraId="64A5E4F2">
      <w:pPr>
        <w:spacing w:line="540" w:lineRule="exact"/>
        <w:jc w:val="center"/>
        <w:rPr>
          <w:rFonts w:hint="eastAsia" w:ascii="方正小标宋_GBK" w:hAnsi="宋体" w:eastAsia="方正小标宋_GBK" w:cs="宋体"/>
          <w:kern w:val="0"/>
          <w:sz w:val="36"/>
          <w:szCs w:val="36"/>
          <w:lang w:val="en-US" w:eastAsia="zh-CN"/>
        </w:rPr>
      </w:pPr>
      <w:r>
        <w:rPr>
          <w:rFonts w:hint="eastAsia" w:ascii="方正小标宋_GBK" w:hAnsi="宋体" w:eastAsia="方正小标宋_GBK" w:cs="宋体"/>
          <w:kern w:val="0"/>
          <w:sz w:val="36"/>
          <w:szCs w:val="36"/>
          <w:lang w:val="en-US" w:eastAsia="zh-CN"/>
        </w:rPr>
        <w:t xml:space="preserve"> </w:t>
      </w:r>
    </w:p>
    <w:p w14:paraId="4217D399">
      <w:pPr>
        <w:spacing w:line="540" w:lineRule="exact"/>
        <w:jc w:val="center"/>
        <w:rPr>
          <w:rFonts w:hint="eastAsia" w:ascii="方正小标宋_GBK" w:hAnsi="宋体" w:eastAsia="方正小标宋_GBK" w:cs="宋体"/>
          <w:kern w:val="0"/>
          <w:sz w:val="36"/>
          <w:szCs w:val="36"/>
          <w:lang w:val="en-US" w:eastAsia="zh-CN"/>
        </w:rPr>
      </w:pPr>
    </w:p>
    <w:p w14:paraId="26937A73">
      <w:pPr>
        <w:spacing w:line="540" w:lineRule="exact"/>
        <w:jc w:val="center"/>
        <w:rPr>
          <w:rFonts w:hint="eastAsia" w:ascii="方正小标宋_GBK" w:hAnsi="宋体" w:eastAsia="方正小标宋_GBK" w:cs="宋体"/>
          <w:kern w:val="0"/>
          <w:sz w:val="36"/>
          <w:szCs w:val="36"/>
          <w:lang w:val="en-US" w:eastAsia="zh-CN"/>
        </w:rPr>
      </w:pPr>
    </w:p>
    <w:p w14:paraId="3AB0B7B1">
      <w:pPr>
        <w:spacing w:line="540" w:lineRule="exact"/>
        <w:jc w:val="center"/>
        <w:rPr>
          <w:rFonts w:hAnsi="宋体" w:eastAsia="仿宋_GB2312" w:cs="宋体"/>
          <w:kern w:val="0"/>
          <w:sz w:val="30"/>
          <w:szCs w:val="30"/>
        </w:rPr>
      </w:pPr>
    </w:p>
    <w:p w14:paraId="2AA2C339">
      <w:pPr>
        <w:spacing w:line="540" w:lineRule="exact"/>
        <w:jc w:val="center"/>
        <w:rPr>
          <w:rFonts w:hAnsi="宋体" w:eastAsia="仿宋_GB2312" w:cs="宋体"/>
          <w:kern w:val="0"/>
          <w:sz w:val="30"/>
          <w:szCs w:val="30"/>
        </w:rPr>
      </w:pPr>
    </w:p>
    <w:p w14:paraId="7099ED2C">
      <w:pPr>
        <w:spacing w:line="540" w:lineRule="exact"/>
        <w:rPr>
          <w:rFonts w:hAnsi="宋体" w:eastAsia="仿宋_GB2312" w:cs="宋体"/>
          <w:kern w:val="0"/>
          <w:sz w:val="30"/>
          <w:szCs w:val="30"/>
        </w:rPr>
      </w:pPr>
    </w:p>
    <w:p w14:paraId="477E97AB">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687F8824">
      <w:pPr>
        <w:spacing w:line="700" w:lineRule="exact"/>
        <w:ind w:firstLine="849" w:firstLineChars="236"/>
        <w:jc w:val="left"/>
        <w:rPr>
          <w:rFonts w:hint="eastAsia" w:hAnsi="宋体" w:eastAsia="仿宋_GB2312" w:cs="宋体"/>
          <w:kern w:val="0"/>
          <w:sz w:val="36"/>
          <w:szCs w:val="36"/>
          <w:lang w:eastAsia="zh-CN"/>
        </w:rPr>
      </w:pPr>
      <w:r>
        <w:rPr>
          <w:rFonts w:hint="eastAsia" w:hAnsi="宋体" w:eastAsia="仿宋_GB2312" w:cs="宋体"/>
          <w:kern w:val="0"/>
          <w:sz w:val="36"/>
          <w:szCs w:val="36"/>
        </w:rPr>
        <w:t>部门单位名称（公章）：</w:t>
      </w:r>
      <w:r>
        <w:rPr>
          <w:rFonts w:hint="eastAsia" w:hAnsi="宋体" w:eastAsia="仿宋_GB2312" w:cs="宋体"/>
          <w:kern w:val="0"/>
          <w:sz w:val="36"/>
          <w:szCs w:val="36"/>
          <w:lang w:eastAsia="zh-CN"/>
        </w:rPr>
        <w:t>自治区乡村振兴局</w:t>
      </w:r>
    </w:p>
    <w:p w14:paraId="7DCBD570">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w:t>
      </w:r>
      <w:r>
        <w:rPr>
          <w:rFonts w:hint="eastAsia" w:hAnsi="宋体" w:eastAsia="仿宋_GB2312" w:cs="宋体"/>
          <w:kern w:val="0"/>
          <w:sz w:val="36"/>
          <w:szCs w:val="36"/>
          <w:lang w:val="en-US" w:eastAsia="zh-CN"/>
        </w:rPr>
        <w:t>2025</w:t>
      </w:r>
      <w:r>
        <w:rPr>
          <w:rFonts w:hint="eastAsia" w:hAnsi="宋体" w:eastAsia="仿宋_GB2312" w:cs="宋体"/>
          <w:kern w:val="0"/>
          <w:sz w:val="36"/>
          <w:szCs w:val="36"/>
        </w:rPr>
        <w:t>年</w:t>
      </w:r>
      <w:r>
        <w:rPr>
          <w:rFonts w:hint="eastAsia" w:hAnsi="宋体" w:eastAsia="仿宋_GB2312" w:cs="宋体"/>
          <w:kern w:val="0"/>
          <w:sz w:val="36"/>
          <w:szCs w:val="36"/>
          <w:lang w:val="en-US" w:eastAsia="zh-CN"/>
        </w:rPr>
        <w:t>03</w:t>
      </w:r>
      <w:r>
        <w:rPr>
          <w:rFonts w:hint="eastAsia" w:hAnsi="宋体" w:eastAsia="仿宋_GB2312" w:cs="宋体"/>
          <w:kern w:val="0"/>
          <w:sz w:val="36"/>
          <w:szCs w:val="36"/>
        </w:rPr>
        <w:t xml:space="preserve">月 </w:t>
      </w:r>
      <w:r>
        <w:rPr>
          <w:rFonts w:hint="eastAsia" w:hAnsi="宋体" w:eastAsia="仿宋_GB2312" w:cs="宋体"/>
          <w:kern w:val="0"/>
          <w:sz w:val="36"/>
          <w:szCs w:val="36"/>
          <w:lang w:val="en-US" w:eastAsia="zh-CN"/>
        </w:rPr>
        <w:t>06</w:t>
      </w:r>
      <w:r>
        <w:rPr>
          <w:rFonts w:hint="eastAsia" w:hAnsi="宋体" w:eastAsia="仿宋_GB2312" w:cs="宋体"/>
          <w:kern w:val="0"/>
          <w:sz w:val="36"/>
          <w:szCs w:val="36"/>
        </w:rPr>
        <w:t xml:space="preserve"> 日</w:t>
      </w:r>
    </w:p>
    <w:p w14:paraId="1CA95465">
      <w:pPr>
        <w:spacing w:line="700" w:lineRule="exact"/>
        <w:jc w:val="left"/>
        <w:rPr>
          <w:rFonts w:hAnsi="宋体" w:eastAsia="仿宋_GB2312" w:cs="宋体"/>
          <w:kern w:val="0"/>
          <w:sz w:val="36"/>
          <w:szCs w:val="36"/>
        </w:rPr>
      </w:pPr>
    </w:p>
    <w:p w14:paraId="12391579">
      <w:pPr>
        <w:spacing w:line="700" w:lineRule="exact"/>
        <w:jc w:val="left"/>
        <w:rPr>
          <w:rFonts w:hAnsi="宋体" w:eastAsia="仿宋_GB2312" w:cs="宋体"/>
          <w:kern w:val="0"/>
          <w:sz w:val="36"/>
          <w:szCs w:val="36"/>
        </w:rPr>
      </w:pPr>
    </w:p>
    <w:p w14:paraId="170A3614">
      <w:pPr>
        <w:keepNext w:val="0"/>
        <w:keepLines w:val="0"/>
        <w:pageBreakBefore w:val="0"/>
        <w:widowControl w:val="0"/>
        <w:numPr>
          <w:ilvl w:val="0"/>
          <w:numId w:val="1"/>
        </w:numPr>
        <w:kinsoku/>
        <w:wordWrap/>
        <w:overflowPunct w:val="0"/>
        <w:topLinePunct/>
        <w:autoSpaceDE w:val="0"/>
        <w:autoSpaceDN w:val="0"/>
        <w:bidi w:val="0"/>
        <w:adjustRightInd w:val="0"/>
        <w:snapToGrid w:val="0"/>
        <w:spacing w:line="560" w:lineRule="exact"/>
        <w:jc w:val="both"/>
        <w:textAlignment w:val="auto"/>
        <w:outlineLvl w:val="9"/>
        <w:rPr>
          <w:rFonts w:hint="eastAsia" w:ascii="黑体" w:hAnsi="黑体" w:eastAsia="黑体" w:cs="黑体"/>
          <w:b/>
          <w:bCs w:val="0"/>
          <w:color w:val="333333"/>
          <w:sz w:val="32"/>
          <w:szCs w:val="32"/>
          <w:lang w:bidi="ar"/>
        </w:rPr>
      </w:pPr>
      <w:r>
        <w:rPr>
          <w:rFonts w:hint="eastAsia" w:ascii="黑体" w:hAnsi="黑体" w:eastAsia="黑体" w:cs="黑体"/>
          <w:b/>
          <w:bCs w:val="0"/>
          <w:sz w:val="32"/>
          <w:szCs w:val="32"/>
        </w:rPr>
        <w:t>基本</w:t>
      </w:r>
      <w:r>
        <w:rPr>
          <w:rFonts w:hint="eastAsia" w:ascii="黑体" w:hAnsi="黑体" w:eastAsia="黑体" w:cs="黑体"/>
          <w:b/>
          <w:bCs w:val="0"/>
          <w:color w:val="333333"/>
          <w:sz w:val="32"/>
          <w:szCs w:val="32"/>
          <w:lang w:bidi="ar"/>
        </w:rPr>
        <w:t>概况</w:t>
      </w:r>
    </w:p>
    <w:p w14:paraId="3D154D4E">
      <w:pPr>
        <w:keepNext w:val="0"/>
        <w:keepLines w:val="0"/>
        <w:pageBreakBefore w:val="0"/>
        <w:widowControl w:val="0"/>
        <w:numPr>
          <w:ilvl w:val="0"/>
          <w:numId w:val="0"/>
        </w:numPr>
        <w:kinsoku/>
        <w:wordWrap/>
        <w:overflowPunct w:val="0"/>
        <w:topLinePunct/>
        <w:autoSpaceDE w:val="0"/>
        <w:autoSpaceDN w:val="0"/>
        <w:bidi w:val="0"/>
        <w:adjustRightInd w:val="0"/>
        <w:snapToGrid w:val="0"/>
        <w:spacing w:line="560" w:lineRule="exact"/>
        <w:ind w:left="648" w:leftChars="0"/>
        <w:jc w:val="both"/>
        <w:textAlignment w:val="auto"/>
        <w:outlineLvl w:val="9"/>
        <w:rPr>
          <w:rFonts w:hint="eastAsia" w:ascii="仿宋_GB2312" w:hAnsi="仿宋_GB2312" w:eastAsia="仿宋_GB2312" w:cs="仿宋_GB2312"/>
          <w:b/>
          <w:bCs w:val="0"/>
          <w:color w:val="333333"/>
          <w:sz w:val="32"/>
          <w:szCs w:val="32"/>
          <w:lang w:bidi="ar"/>
        </w:rPr>
      </w:pPr>
      <w:r>
        <w:rPr>
          <w:rFonts w:hint="eastAsia" w:ascii="仿宋_GB2312" w:hAnsi="仿宋_GB2312" w:eastAsia="仿宋_GB2312" w:cs="仿宋_GB2312"/>
          <w:b/>
          <w:bCs w:val="0"/>
          <w:sz w:val="32"/>
          <w:szCs w:val="32"/>
        </w:rPr>
        <w:t>部门单位基本情况</w:t>
      </w:r>
      <w:r>
        <w:rPr>
          <w:rFonts w:hint="eastAsia" w:ascii="仿宋_GB2312" w:hAnsi="仿宋_GB2312" w:eastAsia="仿宋_GB2312" w:cs="仿宋_GB2312"/>
          <w:b/>
          <w:bCs w:val="0"/>
          <w:sz w:val="32"/>
          <w:szCs w:val="32"/>
          <w:lang w:val="en-US" w:eastAsia="zh-CN"/>
        </w:rPr>
        <w:t>:</w:t>
      </w:r>
    </w:p>
    <w:p w14:paraId="22BE3C79">
      <w:pPr>
        <w:keepNext w:val="0"/>
        <w:keepLines w:val="0"/>
        <w:pageBreakBefore w:val="0"/>
        <w:widowControl w:val="0"/>
        <w:kinsoku/>
        <w:wordWrap/>
        <w:overflowPunct w:val="0"/>
        <w:topLinePunct/>
        <w:autoSpaceDE w:val="0"/>
        <w:autoSpaceDN w:val="0"/>
        <w:bidi w:val="0"/>
        <w:adjustRightInd w:val="0"/>
        <w:spacing w:line="560" w:lineRule="exact"/>
        <w:ind w:firstLine="640" w:firstLineChars="200"/>
        <w:jc w:val="both"/>
        <w:textAlignment w:val="auto"/>
        <w:outlineLvl w:val="9"/>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2024年，自治区乡村振兴局下属机构无变化。独立编制机构4个，包括：4家事业单位（外资中心、数据中心、宣教中心、机关服务中心）；独立核算机构4个，包括：机关本级（含外资中心）、数据中心、宣教中心、机关服务中心。</w:t>
      </w:r>
      <w:r>
        <w:rPr>
          <w:rFonts w:hint="eastAsia" w:ascii="仿宋_GB2312" w:hAnsi="仿宋_GB2312" w:eastAsia="仿宋_GB2312" w:cs="仿宋_GB2312"/>
          <w:b w:val="0"/>
          <w:bCs/>
          <w:sz w:val="32"/>
          <w:szCs w:val="32"/>
        </w:rPr>
        <w:cr/>
      </w:r>
      <w:r>
        <w:rPr>
          <w:rFonts w:hint="eastAsia" w:ascii="仿宋_GB2312" w:hAnsi="仿宋_GB2312" w:eastAsia="仿宋_GB2312" w:cs="仿宋_GB2312"/>
          <w:b w:val="0"/>
          <w:bCs/>
          <w:sz w:val="32"/>
          <w:szCs w:val="32"/>
          <w:lang w:val="en-US" w:eastAsia="zh-CN"/>
        </w:rPr>
        <w:t xml:space="preserve">    </w:t>
      </w:r>
      <w:r>
        <w:rPr>
          <w:rFonts w:hint="eastAsia" w:ascii="仿宋_GB2312" w:hAnsi="仿宋_GB2312" w:eastAsia="仿宋_GB2312" w:cs="仿宋_GB2312"/>
          <w:b w:val="0"/>
          <w:bCs/>
          <w:sz w:val="32"/>
          <w:szCs w:val="32"/>
        </w:rPr>
        <w:t>2024年人员编制数44名（机关工勤4名，外资中心13名、数据中心10名、宣教中心5名、机关服务中心12名）。年中乡村振兴局并入自治区农业农村厅，行政人员转隶至农业农村厅。</w:t>
      </w:r>
      <w:bookmarkStart w:id="0" w:name="_Hlk43849111"/>
      <w:bookmarkEnd w:id="0"/>
    </w:p>
    <w:p w14:paraId="364E11A7">
      <w:pPr>
        <w:keepNext w:val="0"/>
        <w:keepLines w:val="0"/>
        <w:pageBreakBefore w:val="0"/>
        <w:widowControl w:val="0"/>
        <w:kinsoku/>
        <w:wordWrap/>
        <w:overflowPunct w:val="0"/>
        <w:topLinePunct/>
        <w:autoSpaceDE w:val="0"/>
        <w:autoSpaceDN w:val="0"/>
        <w:bidi w:val="0"/>
        <w:adjustRightInd w:val="0"/>
        <w:spacing w:line="560" w:lineRule="exact"/>
        <w:ind w:firstLine="640" w:firstLineChars="200"/>
        <w:jc w:val="both"/>
        <w:textAlignment w:val="auto"/>
        <w:outlineLvl w:val="9"/>
        <w:rPr>
          <w:rFonts w:hint="eastAsia" w:ascii="楷体_GB2312" w:hAnsi="楷体_GB2312" w:eastAsia="楷体_GB2312" w:cs="楷体_GB2312"/>
          <w:b w:val="0"/>
          <w:bCs/>
          <w:i w:val="0"/>
          <w:caps w:val="0"/>
          <w:color w:val="333333"/>
          <w:spacing w:val="0"/>
          <w:sz w:val="32"/>
          <w:szCs w:val="32"/>
          <w:shd w:val="clear" w:fill="FFFFFF"/>
          <w:lang w:val="en-US" w:eastAsia="zh-CN"/>
        </w:rPr>
      </w:pPr>
      <w:r>
        <w:rPr>
          <w:rFonts w:hint="eastAsia" w:ascii="楷体_GB2312" w:hAnsi="楷体_GB2312" w:eastAsia="楷体_GB2312" w:cs="楷体_GB2312"/>
          <w:b w:val="0"/>
          <w:bCs/>
          <w:color w:val="333333"/>
          <w:sz w:val="32"/>
          <w:szCs w:val="32"/>
          <w:lang w:bidi="ar"/>
        </w:rPr>
        <w:t>部门单位年度重点工作</w:t>
      </w:r>
      <w:r>
        <w:rPr>
          <w:rFonts w:hint="eastAsia" w:ascii="楷体_GB2312" w:hAnsi="楷体_GB2312" w:eastAsia="楷体_GB2312" w:cs="楷体_GB2312"/>
          <w:b w:val="0"/>
          <w:bCs/>
          <w:color w:val="333333"/>
          <w:sz w:val="32"/>
          <w:szCs w:val="32"/>
          <w:lang w:val="en-US" w:eastAsia="zh-CN" w:bidi="ar"/>
        </w:rPr>
        <w:t>:</w:t>
      </w:r>
    </w:p>
    <w:p w14:paraId="00A60385">
      <w:pPr>
        <w:keepNext w:val="0"/>
        <w:keepLines w:val="0"/>
        <w:pageBreakBefore w:val="0"/>
        <w:widowControl w:val="0"/>
        <w:numPr>
          <w:ilvl w:val="0"/>
          <w:numId w:val="0"/>
        </w:numPr>
        <w:kinsoku/>
        <w:wordWrap/>
        <w:overflowPunct w:val="0"/>
        <w:topLinePunct/>
        <w:autoSpaceDE w:val="0"/>
        <w:autoSpaceDN w:val="0"/>
        <w:bidi w:val="0"/>
        <w:adjustRightInd w:val="0"/>
        <w:spacing w:line="560" w:lineRule="exact"/>
        <w:ind w:firstLine="643" w:firstLineChars="200"/>
        <w:jc w:val="both"/>
        <w:textAlignment w:val="auto"/>
        <w:outlineLvl w:val="9"/>
        <w:rPr>
          <w:rFonts w:hint="eastAsia" w:ascii="仿宋_GB2312" w:hAnsi="仿宋_GB2312" w:eastAsia="仿宋_GB2312" w:cs="仿宋_GB2312"/>
          <w:b/>
          <w:bCs w:val="0"/>
          <w:sz w:val="32"/>
          <w:szCs w:val="32"/>
        </w:rPr>
      </w:pPr>
      <w:r>
        <w:rPr>
          <w:rFonts w:hint="eastAsia" w:ascii="仿宋_GB2312" w:hAnsi="仿宋_GB2312" w:eastAsia="仿宋_GB2312" w:cs="仿宋_GB2312"/>
          <w:b/>
          <w:bCs w:val="0"/>
          <w:sz w:val="32"/>
          <w:szCs w:val="32"/>
          <w:lang w:val="en-US" w:eastAsia="zh-CN"/>
        </w:rPr>
        <w:t>1.</w:t>
      </w:r>
      <w:r>
        <w:rPr>
          <w:rFonts w:hint="eastAsia" w:ascii="仿宋_GB2312" w:hAnsi="仿宋_GB2312" w:eastAsia="仿宋_GB2312" w:cs="仿宋_GB2312"/>
          <w:b/>
          <w:bCs w:val="0"/>
          <w:sz w:val="32"/>
          <w:szCs w:val="32"/>
        </w:rPr>
        <w:t>抓思想政治引领，扎实推进学习型机关建设。</w:t>
      </w:r>
      <w:r>
        <w:rPr>
          <w:rFonts w:hint="eastAsia" w:ascii="仿宋_GB2312" w:hAnsi="仿宋_GB2312" w:eastAsia="仿宋_GB2312" w:cs="仿宋_GB2312"/>
          <w:b w:val="0"/>
          <w:bCs/>
          <w:sz w:val="32"/>
          <w:szCs w:val="32"/>
        </w:rPr>
        <w:t>坚持以习近平新时代中国特色社会主义思想为指导，以党纪学习教育为契机，贯彻落实厅党组和机关党委政治理论学习要求，用好周三政治理论学习会议载体，制定学习计划，组织全体党员、干部深入学习贯彻党的二十大、二十届二中、三中全会精神，系统学习习近平总书记关于“三农”工作的重要论述和关于新疆工作的重要讲话重要指示精神，及时跟进学习自治区党委常委会会议精神，按时传达学习厅党组和分管厅领导专题会议精神，积极组织全体党员、干部参加专题学习会、组织生活会及各类学习和读书班、警示教育、教育实践、主题党日等活动，督促做好笔记、心得体会撰写等。严格落实“三会一课”制度，持续推动用党的创新理论武装头脑，不断提升政治判断力、政治领悟力、政治执行力，以高度的思想自觉、政治自觉、行动自觉，坚决捍卫“两个确立”，增强“四个意识”、坚定“四个自信”、做到“两个维护”。</w:t>
      </w:r>
      <w:r>
        <w:rPr>
          <w:rFonts w:hint="eastAsia" w:ascii="仿宋_GB2312" w:hAnsi="仿宋_GB2312" w:eastAsia="仿宋_GB2312" w:cs="仿宋_GB2312"/>
          <w:b w:val="0"/>
          <w:bCs/>
          <w:sz w:val="32"/>
          <w:szCs w:val="32"/>
        </w:rPr>
        <w:cr/>
      </w:r>
      <w:r>
        <w:rPr>
          <w:rFonts w:hint="eastAsia" w:ascii="仿宋_GB2312" w:hAnsi="仿宋_GB2312" w:eastAsia="仿宋_GB2312" w:cs="仿宋_GB2312"/>
          <w:b w:val="0"/>
          <w:bCs/>
          <w:sz w:val="32"/>
          <w:szCs w:val="32"/>
          <w:lang w:val="en-US" w:eastAsia="zh-CN"/>
        </w:rPr>
        <w:t xml:space="preserve">    </w:t>
      </w:r>
      <w:r>
        <w:rPr>
          <w:rFonts w:hint="eastAsia" w:ascii="仿宋_GB2312" w:hAnsi="仿宋_GB2312" w:eastAsia="仿宋_GB2312" w:cs="仿宋_GB2312"/>
          <w:b/>
          <w:bCs w:val="0"/>
          <w:sz w:val="32"/>
          <w:szCs w:val="32"/>
        </w:rPr>
        <w:t>2.紧紧围绕总目标，加强维护稳定日常安全工作结合工作。</w:t>
      </w:r>
      <w:r>
        <w:rPr>
          <w:rFonts w:hint="eastAsia" w:ascii="仿宋_GB2312" w:hAnsi="仿宋_GB2312" w:eastAsia="仿宋_GB2312" w:cs="仿宋_GB2312"/>
          <w:b w:val="0"/>
          <w:bCs/>
          <w:sz w:val="32"/>
          <w:szCs w:val="32"/>
        </w:rPr>
        <w:t>一是全面落实厅党组和社区“大党委”关于维护稳定工作部署安排，不断加大人防、物防、技防工作力度，确保了机关大院维护稳定无事故发生。二是落实职责和责任。强化了维护稳定，明确安保职责和分工，对进入院落人员、车辆进行实名制登记、24小时不定时对院落值班巡逻，展开了常态化巡逻防控，管理好单位出入大门。三是进一步完善了安保机制，制定全年演练计划，强化应急实地演练。</w:t>
      </w:r>
    </w:p>
    <w:p w14:paraId="677AFC68">
      <w:pPr>
        <w:keepNext w:val="0"/>
        <w:keepLines w:val="0"/>
        <w:pageBreakBefore w:val="0"/>
        <w:widowControl w:val="0"/>
        <w:numPr>
          <w:ilvl w:val="0"/>
          <w:numId w:val="0"/>
        </w:numPr>
        <w:kinsoku/>
        <w:wordWrap/>
        <w:overflowPunct w:val="0"/>
        <w:topLinePunct/>
        <w:autoSpaceDE w:val="0"/>
        <w:autoSpaceDN w:val="0"/>
        <w:bidi w:val="0"/>
        <w:adjustRightInd w:val="0"/>
        <w:spacing w:line="560" w:lineRule="exact"/>
        <w:ind w:firstLine="643" w:firstLineChars="200"/>
        <w:jc w:val="both"/>
        <w:textAlignment w:val="auto"/>
        <w:outlineLvl w:val="9"/>
        <w:rPr>
          <w:rFonts w:hint="eastAsia" w:ascii="仿宋_GB2312" w:hAnsi="仿宋_GB2312" w:eastAsia="仿宋_GB2312" w:cs="仿宋_GB2312"/>
          <w:b w:val="0"/>
          <w:bCs/>
          <w:sz w:val="32"/>
          <w:szCs w:val="32"/>
        </w:rPr>
      </w:pPr>
      <w:r>
        <w:rPr>
          <w:rFonts w:hint="eastAsia" w:ascii="仿宋_GB2312" w:hAnsi="仿宋_GB2312" w:eastAsia="仿宋_GB2312" w:cs="仿宋_GB2312"/>
          <w:b/>
          <w:bCs w:val="0"/>
          <w:sz w:val="32"/>
          <w:szCs w:val="32"/>
        </w:rPr>
        <w:t>3.全面做好防返贫动态监测数据支撑工作。</w:t>
      </w:r>
      <w:r>
        <w:rPr>
          <w:rFonts w:hint="eastAsia" w:ascii="仿宋_GB2312" w:hAnsi="仿宋_GB2312" w:eastAsia="仿宋_GB2312" w:cs="仿宋_GB2312"/>
          <w:b w:val="0"/>
          <w:bCs/>
          <w:sz w:val="32"/>
          <w:szCs w:val="32"/>
        </w:rPr>
        <w:t>一是通过信息化技术手段为全区防返贫工作提供防返贫监测对象、乡村建设、脱贫人口就业监测及数据分析，按照既定数据交换字段、时间、内容等，加强与民政、医保、人社等相关厅局数据比对共享，为全面完成防返贫监测帮扶工作发挥了突出作用，积极提升数据质量。二是紧紧围绕国家乡村振兴局确定的68项疑点数据规则，反复核实问题数据，及时推送数据质量问题清单，排查核实数据问题。三是积极做好数据服务，向农业农村部帮扶司提供各类数据20余次（平均每月备份1-2次），涉及数据量8亿余条；为自治区相关厅局提供数据信息58次，涉及数据量9100万条；为本单位提供数据信息200余项，涉及数据量1.8亿条；四是加强乡村振兴大数据平台安全防护工作，组织安全厂商对平台全面检查，查找平台技术漏洞和管理薄弱环节，开展整改，加固防护，平台安全性进一步提高。</w:t>
      </w:r>
      <w:r>
        <w:rPr>
          <w:rFonts w:hint="eastAsia" w:ascii="仿宋_GB2312" w:hAnsi="仿宋_GB2312" w:eastAsia="仿宋_GB2312" w:cs="仿宋_GB2312"/>
          <w:b/>
          <w:bCs w:val="0"/>
          <w:sz w:val="32"/>
          <w:szCs w:val="32"/>
        </w:rPr>
        <w:br w:type="textWrapping"/>
      </w:r>
      <w:r>
        <w:rPr>
          <w:rFonts w:hint="eastAsia" w:ascii="仿宋_GB2312" w:hAnsi="仿宋_GB2312" w:eastAsia="仿宋_GB2312" w:cs="仿宋_GB2312"/>
          <w:b/>
          <w:bCs w:val="0"/>
          <w:sz w:val="32"/>
          <w:szCs w:val="32"/>
          <w:lang w:val="en-US" w:eastAsia="zh-CN"/>
        </w:rPr>
        <w:t xml:space="preserve">    </w:t>
      </w:r>
      <w:r>
        <w:rPr>
          <w:rFonts w:hint="eastAsia" w:ascii="仿宋_GB2312" w:hAnsi="仿宋_GB2312" w:eastAsia="仿宋_GB2312" w:cs="仿宋_GB2312"/>
          <w:b/>
          <w:bCs w:val="0"/>
          <w:sz w:val="32"/>
          <w:szCs w:val="32"/>
        </w:rPr>
        <w:t>4.加强网络与信息安全管理工作。</w:t>
      </w:r>
      <w:r>
        <w:rPr>
          <w:rFonts w:hint="eastAsia" w:ascii="仿宋_GB2312" w:hAnsi="仿宋_GB2312" w:eastAsia="仿宋_GB2312" w:cs="仿宋_GB2312"/>
          <w:b w:val="0"/>
          <w:bCs/>
          <w:sz w:val="32"/>
          <w:szCs w:val="32"/>
        </w:rPr>
        <w:t>一是严格落实网络安全责任制要求，加强制度建设，强化设备使用管理，进一步修订完善了网络与信息安全制度，安排专人每月开展网络安全巡查，组织开展网络安全隐患排查6次，网站安全应急演练1次，指导开展数据安全风险评估工作，组织开展安全宣传教育培训。做好互联网接入管理工作，防止互联网涉密事件的发生，进一步加强和规范各处室互联网接入使用，签订保密协议，实行目标管理，责任落实到人，完成了涉密网络运维管理突出问题专项整治自查整改工作，网络与信息安全工作有计划、有安排、有检查、有落实，保障厅后泉路办公区网络安全稳定可靠运行，坚决防止失泄密及网络安全事件发生。</w:t>
      </w:r>
      <w:r>
        <w:rPr>
          <w:rFonts w:hint="eastAsia" w:ascii="仿宋_GB2312" w:hAnsi="仿宋_GB2312" w:eastAsia="仿宋_GB2312" w:cs="仿宋_GB2312"/>
          <w:b/>
          <w:bCs w:val="0"/>
          <w:sz w:val="32"/>
          <w:szCs w:val="32"/>
        </w:rPr>
        <w:br w:type="textWrapping"/>
      </w:r>
      <w:r>
        <w:rPr>
          <w:rFonts w:hint="eastAsia" w:ascii="仿宋_GB2312" w:hAnsi="仿宋_GB2312" w:eastAsia="仿宋_GB2312" w:cs="仿宋_GB2312"/>
          <w:b/>
          <w:bCs w:val="0"/>
          <w:sz w:val="32"/>
          <w:szCs w:val="32"/>
          <w:lang w:val="en-US" w:eastAsia="zh-CN"/>
        </w:rPr>
        <w:t xml:space="preserve">    </w:t>
      </w:r>
      <w:r>
        <w:rPr>
          <w:rFonts w:hint="eastAsia" w:ascii="仿宋_GB2312" w:hAnsi="仿宋_GB2312" w:eastAsia="仿宋_GB2312" w:cs="仿宋_GB2312"/>
          <w:b/>
          <w:bCs w:val="0"/>
          <w:sz w:val="32"/>
          <w:szCs w:val="32"/>
        </w:rPr>
        <w:t>5.抓履职尽责落实，努力实现年度任务目标。</w:t>
      </w:r>
      <w:r>
        <w:rPr>
          <w:rFonts w:hint="eastAsia" w:ascii="仿宋_GB2312" w:hAnsi="仿宋_GB2312" w:eastAsia="仿宋_GB2312" w:cs="仿宋_GB2312"/>
          <w:b w:val="0"/>
          <w:bCs/>
          <w:sz w:val="32"/>
          <w:szCs w:val="32"/>
        </w:rPr>
        <w:t>一是农牧业期刊资料如期发行。严格执行“三审三校”制度，进一步规范《新疆农业科技》（汉文、维文）、《新疆畜牧业》（汉文、维文、哈文、蒙文）、《新疆农村机械化》（维文）7本期刊的选稿、翻译、编辑、审定等程序，确保意识形态领域绝对安全。按要求完成《新疆畜牧业》期刊（4个文种）2023年度核验和社会效益评价、提交1996-2000年度数字化版本，2024年内共出版18期，印刷52000册，其中汉文6期、24000册；维文4期、16000册；哈文4期、6800册；蒙文4期、5200册，刊登96个社会性公益宣传插页。完成2024年六期9000册《新疆农业科技》（维文版）杂志的出版发行工作。安排专人学习并协助完成2024年第六期《新疆农业科技》（汉文版）和《新疆农村机械化》（维文版）杂志的出版工作。配合厅办公室完成5份公文的翻译、录入排版及审定，3名工作者参与2024年自治区“</w:t>
      </w:r>
      <w:bookmarkStart w:id="1" w:name="_GoBack"/>
      <w:r>
        <w:rPr>
          <w:rFonts w:hint="eastAsia" w:ascii="仿宋_GB2312" w:hAnsi="仿宋_GB2312" w:eastAsia="仿宋_GB2312" w:cs="仿宋_GB2312"/>
          <w:b w:val="0"/>
          <w:bCs/>
          <w:sz w:val="32"/>
          <w:szCs w:val="32"/>
        </w:rPr>
        <w:t>两会</w:t>
      </w:r>
      <w:bookmarkEnd w:id="1"/>
      <w:r>
        <w:rPr>
          <w:rFonts w:hint="eastAsia" w:ascii="仿宋_GB2312" w:hAnsi="仿宋_GB2312" w:eastAsia="仿宋_GB2312" w:cs="仿宋_GB2312"/>
          <w:b w:val="0"/>
          <w:bCs/>
          <w:sz w:val="32"/>
          <w:szCs w:val="32"/>
          <w:lang w:eastAsia="zh-CN"/>
        </w:rPr>
        <w:t>（</w:t>
      </w:r>
      <w:r>
        <w:rPr>
          <w:rFonts w:hint="eastAsia" w:ascii="仿宋_GB2312" w:hAnsi="仿宋_GB2312" w:eastAsia="仿宋_GB2312" w:cs="仿宋_GB2312"/>
          <w:b w:val="0"/>
          <w:bCs/>
          <w:sz w:val="32"/>
          <w:szCs w:val="32"/>
          <w:lang w:val="en-US" w:eastAsia="zh-CN"/>
        </w:rPr>
        <w:t>地方）</w:t>
      </w:r>
      <w:r>
        <w:rPr>
          <w:rFonts w:hint="eastAsia" w:ascii="仿宋_GB2312" w:hAnsi="仿宋_GB2312" w:eastAsia="仿宋_GB2312" w:cs="仿宋_GB2312"/>
          <w:b w:val="0"/>
          <w:bCs/>
          <w:sz w:val="32"/>
          <w:szCs w:val="32"/>
        </w:rPr>
        <w:t>”材料的翻译、审定、校对等工作。二是农业宣传教育纵深推进。坚持需求导向、问题导向、目标导向，以“提升‘三农’领域干部政策水平和能力素质”为重点，线上主要依托中央党校“网上党校”，对14个地（州、市）、96个县（市、区）以及相关乡镇政府的分管负责同志2146人开展推进乡村全面振兴专题培训，线下联合建设银行新疆分行举办“金智惠民—乡村振兴”培训班，对14个地（州、市）农业农村部门负责同志和相关县市分管负责同志27人开展集中培训。编译印刷《自治区小麦优质高产栽培技术方案》《自治区玉米密植精准调控高产技术方案》《自治区棉花高产优质栽培技术方案》《2024年自治区强农惠农政策汇编》系列丛书4套以及《炭疽防控常识》《包虫病—致命的虫癌》2套宣传册，向各地农业农村部门和厅“访惠聚”工作队免费发放26000册。积极推进《涉农产业集群优质高产生产技术系列丛书》出版工作。组织有关人员赴哈密市、喀什地区、伊犁州、塔城地区开展农牧业科技宣传服务工作。三是农业产业化培训按时完成。顺利承办自治区涉农产业集群龙头企业管理人员培训班、乡村休闲旅游业经营管理人员培训班、农业产业化龙头企业资本市场专题培训班，农产品电子商务培训班、第八届农村创业大赛培训班，累计培训各类专业人才240人。每季度对自治区粮果畜产业集群“链主”企业和龙头企业生产经营情况开展调度，并形成情况报告，为厅领导提供决策参考。协助开展2024年自治区“乡村振兴板”展示培育申报工作，助力52家自治区龙头企业申报“乡村振兴板”挂牌展示。联合组织开展巴州、阿克苏、喀什、和田四地州国家级龙头企业实地监测工作。四是农业农村领域重要调研活动协同开展。配合开展农业农村系统根治拖欠农民工工资问题整改和春节后农民工就业形势专题调研，及时跟进参与农业农村领域欠薪问题“回头看”、春风行动暨就业援助月等专项行动，推动和田、喀什地区农业农村部门做好5起拖欠农民工工资问题整改。积极参与设施农业、优势特色产业集群、产业强镇、现代农业产业园、农民增收、高素质农民教育、智慧农业发展、农产品储运情况等实地调研，参与研究起草《自治区智慧农业行动计划(2024—2028年)》等工作。</w:t>
      </w:r>
    </w:p>
    <w:p w14:paraId="4396CAD2">
      <w:pPr>
        <w:keepNext w:val="0"/>
        <w:keepLines w:val="0"/>
        <w:pageBreakBefore w:val="0"/>
        <w:widowControl w:val="0"/>
        <w:kinsoku/>
        <w:wordWrap/>
        <w:overflowPunct w:val="0"/>
        <w:topLinePunct/>
        <w:autoSpaceDE w:val="0"/>
        <w:autoSpaceDN w:val="0"/>
        <w:bidi w:val="0"/>
        <w:adjustRightInd w:val="0"/>
        <w:spacing w:line="560" w:lineRule="exact"/>
        <w:ind w:firstLine="643" w:firstLineChars="200"/>
        <w:jc w:val="both"/>
        <w:textAlignment w:val="auto"/>
        <w:outlineLvl w:val="9"/>
        <w:rPr>
          <w:rFonts w:hint="eastAsia" w:ascii="楷体_GB2312" w:hAnsi="楷体_GB2312" w:eastAsia="楷体_GB2312" w:cs="楷体_GB2312"/>
          <w:b/>
          <w:bCs w:val="0"/>
          <w:i w:val="0"/>
          <w:caps w:val="0"/>
          <w:color w:val="333333"/>
          <w:spacing w:val="0"/>
          <w:sz w:val="32"/>
          <w:szCs w:val="32"/>
          <w:shd w:val="clear" w:fill="FFFFFF"/>
          <w:lang w:val="en-US" w:eastAsia="zh-CN"/>
        </w:rPr>
      </w:pPr>
      <w:r>
        <w:rPr>
          <w:rFonts w:hint="eastAsia" w:ascii="楷体_GB2312" w:hAnsi="楷体_GB2312" w:eastAsia="楷体_GB2312" w:cs="楷体_GB2312"/>
          <w:b/>
          <w:bCs w:val="0"/>
          <w:color w:val="333333"/>
          <w:sz w:val="32"/>
          <w:szCs w:val="32"/>
          <w:lang w:bidi="ar"/>
        </w:rPr>
        <w:t>部门单位整体预算规模及安排情况</w:t>
      </w:r>
      <w:r>
        <w:rPr>
          <w:rFonts w:hint="eastAsia" w:ascii="楷体_GB2312" w:hAnsi="楷体_GB2312" w:eastAsia="楷体_GB2312" w:cs="楷体_GB2312"/>
          <w:b/>
          <w:bCs w:val="0"/>
          <w:color w:val="333333"/>
          <w:sz w:val="32"/>
          <w:szCs w:val="32"/>
          <w:lang w:val="en-US" w:eastAsia="zh-CN" w:bidi="ar"/>
        </w:rPr>
        <w:t>:</w:t>
      </w:r>
    </w:p>
    <w:p w14:paraId="52B112E4">
      <w:pPr>
        <w:keepNext w:val="0"/>
        <w:keepLines w:val="0"/>
        <w:pageBreakBefore w:val="0"/>
        <w:widowControl w:val="0"/>
        <w:kinsoku/>
        <w:wordWrap/>
        <w:overflowPunct w:val="0"/>
        <w:topLinePunct/>
        <w:autoSpaceDE w:val="0"/>
        <w:autoSpaceDN w:val="0"/>
        <w:bidi w:val="0"/>
        <w:adjustRightInd w:val="0"/>
        <w:spacing w:line="560" w:lineRule="exact"/>
        <w:ind w:firstLine="640" w:firstLineChars="200"/>
        <w:jc w:val="both"/>
        <w:textAlignment w:val="auto"/>
        <w:outlineLvl w:val="9"/>
        <w:rPr>
          <w:rFonts w:hint="eastAsia" w:ascii="仿宋_GB2312" w:hAnsi="仿宋_GB2312" w:eastAsia="仿宋_GB2312" w:cs="仿宋_GB2312"/>
          <w:b w:val="0"/>
          <w:bCs/>
          <w:i w:val="0"/>
          <w:caps w:val="0"/>
          <w:color w:val="333333"/>
          <w:spacing w:val="0"/>
          <w:sz w:val="32"/>
          <w:szCs w:val="32"/>
          <w:shd w:val="clear" w:fill="FFFFFF"/>
        </w:rPr>
      </w:pPr>
      <w:r>
        <w:rPr>
          <w:rFonts w:hint="eastAsia" w:ascii="仿宋_GB2312" w:hAnsi="仿宋_GB2312" w:eastAsia="仿宋_GB2312" w:cs="仿宋_GB2312"/>
          <w:b w:val="0"/>
          <w:bCs/>
          <w:sz w:val="32"/>
          <w:szCs w:val="32"/>
        </w:rPr>
        <w:t>2024年初批复部门预算565432.34万元（对下转移支付562000万元，自治区本级单位3432.34万元）。截至年底，调整后的预算总额565432.34万元，全部为自治区财政资金，均已核拨到位。实际支出564050.56万元，支出进度为99.00%。按预算层级划分：对下转移支付562000万元，自治区本级单位支出2050.56万元。自治区本级单位支出中，基本支出1866.23万元，项目支出184.33万元；按支出经济分类:工资福利支出1054.78万元、商品服务支出754.46万元、对个人和家庭的补助支出236.32万元、资本性支出5.00万元。</w:t>
      </w:r>
    </w:p>
    <w:p w14:paraId="15F36601">
      <w:pPr>
        <w:keepNext w:val="0"/>
        <w:keepLines w:val="0"/>
        <w:pageBreakBefore w:val="0"/>
        <w:widowControl w:val="0"/>
        <w:numPr>
          <w:ilvl w:val="0"/>
          <w:numId w:val="1"/>
        </w:numPr>
        <w:kinsoku/>
        <w:wordWrap/>
        <w:overflowPunct w:val="0"/>
        <w:topLinePunct/>
        <w:autoSpaceDE w:val="0"/>
        <w:autoSpaceDN w:val="0"/>
        <w:bidi w:val="0"/>
        <w:adjustRightInd w:val="0"/>
        <w:snapToGrid w:val="0"/>
        <w:spacing w:line="560" w:lineRule="exact"/>
        <w:jc w:val="both"/>
        <w:textAlignment w:val="auto"/>
        <w:outlineLvl w:val="9"/>
        <w:rPr>
          <w:rFonts w:hint="eastAsia" w:ascii="黑体" w:hAnsi="黑体" w:eastAsia="黑体" w:cs="黑体"/>
          <w:b w:val="0"/>
          <w:bCs/>
          <w:color w:val="333333"/>
          <w:sz w:val="32"/>
          <w:szCs w:val="32"/>
          <w:lang w:bidi="ar"/>
        </w:rPr>
      </w:pPr>
      <w:r>
        <w:rPr>
          <w:rFonts w:hint="eastAsia" w:ascii="黑体" w:hAnsi="黑体" w:eastAsia="黑体" w:cs="黑体"/>
          <w:b w:val="0"/>
          <w:bCs/>
          <w:color w:val="333333"/>
          <w:sz w:val="32"/>
          <w:szCs w:val="32"/>
          <w:lang w:bidi="ar"/>
        </w:rPr>
        <w:t>部门单位整体支出管理及使用情况</w:t>
      </w:r>
    </w:p>
    <w:p w14:paraId="0EB11FAB">
      <w:pPr>
        <w:keepNext w:val="0"/>
        <w:keepLines w:val="0"/>
        <w:pageBreakBefore w:val="0"/>
        <w:widowControl w:val="0"/>
        <w:kinsoku/>
        <w:wordWrap/>
        <w:overflowPunct w:val="0"/>
        <w:topLinePunct/>
        <w:autoSpaceDE w:val="0"/>
        <w:autoSpaceDN w:val="0"/>
        <w:bidi w:val="0"/>
        <w:adjustRightInd w:val="0"/>
        <w:spacing w:line="560" w:lineRule="exact"/>
        <w:ind w:firstLine="1280" w:firstLineChars="400"/>
        <w:jc w:val="both"/>
        <w:textAlignment w:val="auto"/>
        <w:outlineLvl w:val="9"/>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2024年支出年初预算数3432.34万元，决算数2050.56万元，较年初预算数减少1381.78万元，差异率-40.26%，主要原因：1.2024年年中机构改革，自治区乡村振兴局与农业农村厅合并，部分预算指标调整至农业农村厅；2.主要是自治区乡村振兴局数据管理中心、机关服务中心、宣传教育培训中心三家单位，年初预算项目支出科目使用事业运行，在年末决算时按要求记入基本支出中，导致公用经费增加。</w:t>
      </w:r>
      <w:r>
        <w:rPr>
          <w:rFonts w:hint="eastAsia" w:ascii="仿宋_GB2312" w:hAnsi="仿宋_GB2312" w:eastAsia="仿宋_GB2312" w:cs="仿宋_GB2312"/>
          <w:b w:val="0"/>
          <w:bCs/>
          <w:sz w:val="32"/>
          <w:szCs w:val="32"/>
        </w:rPr>
        <w:cr/>
      </w:r>
      <w:r>
        <w:rPr>
          <w:rFonts w:hint="eastAsia" w:ascii="仿宋_GB2312" w:hAnsi="仿宋_GB2312" w:eastAsia="仿宋_GB2312" w:cs="仿宋_GB2312"/>
          <w:b w:val="0"/>
          <w:bCs/>
          <w:sz w:val="32"/>
          <w:szCs w:val="32"/>
          <w:lang w:val="en-US" w:eastAsia="zh-CN"/>
        </w:rPr>
        <w:t xml:space="preserve">    </w:t>
      </w:r>
      <w:r>
        <w:rPr>
          <w:rFonts w:hint="eastAsia" w:ascii="楷体_GB2312" w:hAnsi="楷体_GB2312" w:eastAsia="楷体_GB2312" w:cs="楷体_GB2312"/>
          <w:b w:val="0"/>
          <w:bCs/>
          <w:sz w:val="32"/>
          <w:szCs w:val="32"/>
        </w:rPr>
        <w:t>（一）基本支出管理及使用情况</w:t>
      </w:r>
      <w:r>
        <w:rPr>
          <w:rFonts w:hint="eastAsia" w:ascii="楷体_GB2312" w:hAnsi="楷体_GB2312" w:eastAsia="楷体_GB2312" w:cs="楷体_GB2312"/>
          <w:b w:val="0"/>
          <w:bCs/>
          <w:sz w:val="32"/>
          <w:szCs w:val="32"/>
        </w:rPr>
        <w:cr/>
      </w:r>
      <w:r>
        <w:rPr>
          <w:rFonts w:hint="eastAsia" w:ascii="仿宋_GB2312" w:hAnsi="仿宋_GB2312" w:eastAsia="仿宋_GB2312" w:cs="仿宋_GB2312"/>
          <w:b/>
          <w:bCs w:val="0"/>
          <w:sz w:val="32"/>
          <w:szCs w:val="32"/>
          <w:lang w:val="en-US" w:eastAsia="zh-CN"/>
        </w:rPr>
        <w:t xml:space="preserve">   </w:t>
      </w:r>
      <w:r>
        <w:rPr>
          <w:rFonts w:hint="eastAsia" w:ascii="仿宋_GB2312" w:hAnsi="仿宋_GB2312" w:eastAsia="仿宋_GB2312" w:cs="仿宋_GB2312"/>
          <w:b w:val="0"/>
          <w:bCs/>
          <w:sz w:val="32"/>
          <w:szCs w:val="32"/>
          <w:lang w:val="en-US" w:eastAsia="zh-CN"/>
        </w:rPr>
        <w:t xml:space="preserve"> </w:t>
      </w:r>
      <w:r>
        <w:rPr>
          <w:rFonts w:hint="eastAsia" w:ascii="仿宋_GB2312" w:hAnsi="仿宋_GB2312" w:eastAsia="仿宋_GB2312" w:cs="仿宋_GB2312"/>
          <w:b w:val="0"/>
          <w:bCs/>
          <w:sz w:val="32"/>
          <w:szCs w:val="32"/>
        </w:rPr>
        <w:t>2024年基本支出1866.23万元（财政拨款支出1866.19万元，占比99.99%，非财政拨款0.04万元，占比0.01%），其中：工资福利支出1054.78万元（财政拨款支出1054.78万元，占比100%），商品服务支出570.13万元（财政拨款支出570.09万元，占比99.99%；非财政拨款0.04万元，占比0.01%），对个人和家庭的补助支出236.32万元（财政拨款支出236.32万元，占比100%）。</w:t>
      </w:r>
      <w:r>
        <w:rPr>
          <w:rFonts w:hint="eastAsia" w:ascii="仿宋_GB2312" w:hAnsi="仿宋_GB2312" w:eastAsia="仿宋_GB2312" w:cs="仿宋_GB2312"/>
          <w:b w:val="0"/>
          <w:bCs/>
          <w:sz w:val="32"/>
          <w:szCs w:val="32"/>
        </w:rPr>
        <w:cr/>
      </w:r>
      <w:r>
        <w:rPr>
          <w:rFonts w:hint="eastAsia" w:ascii="仿宋_GB2312" w:hAnsi="仿宋_GB2312" w:eastAsia="仿宋_GB2312" w:cs="仿宋_GB2312"/>
          <w:b w:val="0"/>
          <w:bCs/>
          <w:sz w:val="32"/>
          <w:szCs w:val="32"/>
          <w:lang w:val="en-US" w:eastAsia="zh-CN"/>
        </w:rPr>
        <w:t xml:space="preserve">    </w:t>
      </w:r>
      <w:r>
        <w:rPr>
          <w:rFonts w:hint="eastAsia" w:ascii="仿宋_GB2312" w:hAnsi="仿宋_GB2312" w:eastAsia="仿宋_GB2312" w:cs="仿宋_GB2312"/>
          <w:b w:val="0"/>
          <w:bCs/>
          <w:sz w:val="32"/>
          <w:szCs w:val="32"/>
        </w:rPr>
        <w:t>通过基本支出结构分析，单位本年基本支出经费来源主要是财政拨款，支出主要是工资福利支出、商品服务支出、对个人和家庭的补助支出，全年支出情况较好，支出结构合理。</w:t>
      </w:r>
      <w:r>
        <w:rPr>
          <w:rFonts w:hint="eastAsia" w:ascii="仿宋_GB2312" w:hAnsi="仿宋_GB2312" w:eastAsia="仿宋_GB2312" w:cs="仿宋_GB2312"/>
          <w:b w:val="0"/>
          <w:bCs/>
          <w:sz w:val="32"/>
          <w:szCs w:val="32"/>
        </w:rPr>
        <w:cr/>
      </w:r>
      <w:r>
        <w:rPr>
          <w:rFonts w:hint="eastAsia" w:ascii="仿宋_GB2312" w:hAnsi="仿宋_GB2312" w:eastAsia="仿宋_GB2312" w:cs="仿宋_GB2312"/>
          <w:b w:val="0"/>
          <w:bCs/>
          <w:sz w:val="32"/>
          <w:szCs w:val="32"/>
          <w:lang w:val="en-US" w:eastAsia="zh-CN"/>
        </w:rPr>
        <w:t xml:space="preserve">    </w:t>
      </w:r>
      <w:r>
        <w:rPr>
          <w:rFonts w:hint="eastAsia" w:ascii="楷体_GB2312" w:hAnsi="楷体_GB2312" w:eastAsia="楷体_GB2312" w:cs="楷体_GB2312"/>
          <w:b w:val="0"/>
          <w:bCs/>
          <w:sz w:val="32"/>
          <w:szCs w:val="32"/>
        </w:rPr>
        <w:t>（二）项目支出管理及使用情况</w:t>
      </w:r>
      <w:r>
        <w:rPr>
          <w:rFonts w:hint="eastAsia" w:ascii="仿宋_GB2312" w:hAnsi="仿宋_GB2312" w:eastAsia="仿宋_GB2312" w:cs="仿宋_GB2312"/>
          <w:b/>
          <w:bCs w:val="0"/>
          <w:sz w:val="32"/>
          <w:szCs w:val="32"/>
        </w:rPr>
        <w:cr/>
      </w:r>
      <w:r>
        <w:rPr>
          <w:rFonts w:hint="eastAsia" w:ascii="仿宋_GB2312" w:hAnsi="仿宋_GB2312" w:eastAsia="仿宋_GB2312" w:cs="仿宋_GB2312"/>
          <w:b/>
          <w:bCs w:val="0"/>
          <w:sz w:val="32"/>
          <w:szCs w:val="32"/>
          <w:lang w:val="en-US" w:eastAsia="zh-CN"/>
        </w:rPr>
        <w:t xml:space="preserve">  </w:t>
      </w:r>
      <w:r>
        <w:rPr>
          <w:rFonts w:hint="eastAsia" w:ascii="仿宋_GB2312" w:hAnsi="仿宋_GB2312" w:eastAsia="仿宋_GB2312" w:cs="仿宋_GB2312"/>
          <w:b w:val="0"/>
          <w:bCs/>
          <w:sz w:val="32"/>
          <w:szCs w:val="32"/>
          <w:lang w:val="en-US" w:eastAsia="zh-CN"/>
        </w:rPr>
        <w:t xml:space="preserve">  </w:t>
      </w:r>
      <w:r>
        <w:rPr>
          <w:rFonts w:hint="eastAsia" w:ascii="仿宋_GB2312" w:hAnsi="仿宋_GB2312" w:eastAsia="仿宋_GB2312" w:cs="仿宋_GB2312"/>
          <w:b w:val="0"/>
          <w:bCs/>
          <w:sz w:val="32"/>
          <w:szCs w:val="32"/>
        </w:rPr>
        <w:t>2024年年初预算安排项目资金565432.34万元，其中：对下转移支付562000万元；本级项目支出184.33万元，按支出经济分类，商品和服务支出184.33万元，占项目支出的100%，年末结转和结余0.08万元，占项目资金来源的0.05%。</w:t>
      </w:r>
      <w:r>
        <w:rPr>
          <w:rFonts w:hint="eastAsia" w:ascii="仿宋_GB2312" w:hAnsi="仿宋_GB2312" w:eastAsia="仿宋_GB2312" w:cs="仿宋_GB2312"/>
          <w:b w:val="0"/>
          <w:bCs/>
          <w:sz w:val="32"/>
          <w:szCs w:val="32"/>
        </w:rPr>
        <w:cr/>
      </w:r>
      <w:r>
        <w:rPr>
          <w:rFonts w:hint="eastAsia" w:ascii="仿宋_GB2312" w:hAnsi="仿宋_GB2312" w:eastAsia="仿宋_GB2312" w:cs="仿宋_GB2312"/>
          <w:b w:val="0"/>
          <w:bCs/>
          <w:sz w:val="32"/>
          <w:szCs w:val="32"/>
        </w:rPr>
        <w:t>通过项目资金收支结余情况分析，单位年度项目经费来源为财政拨款，全年支出情况较好，支出结构合理。</w:t>
      </w:r>
      <w:r>
        <w:rPr>
          <w:rFonts w:hint="eastAsia" w:ascii="仿宋_GB2312" w:hAnsi="仿宋_GB2312" w:eastAsia="仿宋_GB2312" w:cs="仿宋_GB2312"/>
          <w:b/>
          <w:bCs w:val="0"/>
          <w:sz w:val="32"/>
          <w:szCs w:val="32"/>
        </w:rPr>
        <w:br w:type="textWrapping"/>
      </w:r>
      <w:r>
        <w:rPr>
          <w:rFonts w:hint="eastAsia" w:ascii="仿宋_GB2312" w:hAnsi="仿宋_GB2312" w:eastAsia="仿宋_GB2312" w:cs="仿宋_GB2312"/>
          <w:b/>
          <w:bCs w:val="0"/>
          <w:sz w:val="32"/>
          <w:szCs w:val="32"/>
          <w:lang w:val="en-US" w:eastAsia="zh-CN"/>
        </w:rPr>
        <w:t xml:space="preserve">    </w:t>
      </w:r>
      <w:r>
        <w:rPr>
          <w:rFonts w:hint="eastAsia" w:ascii="楷体_GB2312" w:hAnsi="楷体_GB2312" w:eastAsia="楷体_GB2312" w:cs="楷体_GB2312"/>
          <w:b w:val="0"/>
          <w:bCs/>
          <w:sz w:val="32"/>
          <w:szCs w:val="32"/>
        </w:rPr>
        <w:t>（三）项目绩效指标完成情况</w:t>
      </w:r>
      <w:r>
        <w:rPr>
          <w:rFonts w:hint="eastAsia" w:ascii="楷体_GB2312" w:hAnsi="楷体_GB2312" w:eastAsia="楷体_GB2312" w:cs="楷体_GB2312"/>
          <w:b w:val="0"/>
          <w:bCs/>
          <w:sz w:val="32"/>
          <w:szCs w:val="32"/>
        </w:rPr>
        <w:br w:type="textWrapping"/>
      </w:r>
      <w:r>
        <w:rPr>
          <w:rFonts w:hint="eastAsia" w:ascii="仿宋_GB2312" w:hAnsi="仿宋_GB2312" w:eastAsia="仿宋_GB2312" w:cs="仿宋_GB2312"/>
          <w:b/>
          <w:bCs w:val="0"/>
          <w:sz w:val="32"/>
          <w:szCs w:val="32"/>
          <w:lang w:val="en-US" w:eastAsia="zh-CN"/>
        </w:rPr>
        <w:t xml:space="preserve">   </w:t>
      </w:r>
      <w:r>
        <w:rPr>
          <w:rFonts w:hint="eastAsia" w:ascii="仿宋_GB2312" w:hAnsi="仿宋_GB2312" w:eastAsia="仿宋_GB2312" w:cs="仿宋_GB2312"/>
          <w:b w:val="0"/>
          <w:bCs/>
          <w:sz w:val="32"/>
          <w:szCs w:val="32"/>
          <w:lang w:val="en-US" w:eastAsia="zh-CN"/>
        </w:rPr>
        <w:t xml:space="preserve"> </w:t>
      </w:r>
      <w:r>
        <w:rPr>
          <w:rFonts w:hint="eastAsia" w:ascii="仿宋_GB2312" w:hAnsi="仿宋_GB2312" w:eastAsia="仿宋_GB2312" w:cs="仿宋_GB2312"/>
          <w:b w:val="0"/>
          <w:bCs/>
          <w:sz w:val="32"/>
          <w:szCs w:val="32"/>
        </w:rPr>
        <w:t>2024年我局共执行3个项目，已全部实施，3个项目实施进度均达到序时支出进度。1.信息系统运行及维护项目312万元，已支出312万元，支出率100%。用于组织开展脱贫人口年度动态管理信息采集并对全区所有农村地区、所有农村户籍人口开展防止返贫动态监测和帮扶排查工作以及自治区乡村振兴大数据平台系统、办公系统和门户网站专用线路租用、网络运维、信息安全等级保护测评等工作。2.宣传培训项目94万元，已支出94万元，支出率100%。用于宣传、培训工作，已举办2期培训班，累计培训2173人次以上，出版发行第一批《涉农产业集群优质高产生产技术系列丛书》。3.后勤保障项目63万元，已支出63万元，支出率100%。用于我局后勤服务保障。</w:t>
      </w:r>
      <w:r>
        <w:rPr>
          <w:rFonts w:hint="eastAsia" w:ascii="仿宋_GB2312" w:hAnsi="仿宋_GB2312" w:eastAsia="仿宋_GB2312" w:cs="仿宋_GB2312"/>
          <w:b w:val="0"/>
          <w:bCs/>
          <w:sz w:val="32"/>
          <w:szCs w:val="32"/>
        </w:rPr>
        <w:cr/>
      </w:r>
      <w:r>
        <w:rPr>
          <w:rFonts w:hint="eastAsia" w:ascii="仿宋_GB2312" w:hAnsi="仿宋_GB2312" w:eastAsia="仿宋_GB2312" w:cs="仿宋_GB2312"/>
          <w:b/>
          <w:bCs w:val="0"/>
          <w:sz w:val="32"/>
          <w:szCs w:val="32"/>
          <w:lang w:val="en-US" w:eastAsia="zh-CN"/>
        </w:rPr>
        <w:t xml:space="preserve">   </w:t>
      </w:r>
      <w:r>
        <w:rPr>
          <w:rFonts w:hint="eastAsia" w:ascii="仿宋_GB2312" w:hAnsi="仿宋_GB2312" w:eastAsia="仿宋_GB2312" w:cs="仿宋_GB2312"/>
          <w:b w:val="0"/>
          <w:bCs/>
          <w:sz w:val="32"/>
          <w:szCs w:val="32"/>
          <w:lang w:val="en-US" w:eastAsia="zh-CN"/>
        </w:rPr>
        <w:t xml:space="preserve"> </w:t>
      </w:r>
      <w:r>
        <w:rPr>
          <w:rFonts w:hint="eastAsia" w:ascii="仿宋_GB2312" w:hAnsi="仿宋_GB2312" w:eastAsia="仿宋_GB2312" w:cs="仿宋_GB2312"/>
          <w:b w:val="0"/>
          <w:bCs/>
          <w:sz w:val="32"/>
          <w:szCs w:val="32"/>
        </w:rPr>
        <w:t>各项目支出绩效目标管理工作严格按照《自治区本级部门预算绩效目标管理暂行办法》执行，做到年初有目标，随预算公开，年末有自评，所有项目均已完成年初制定的绩效目标，项目实施良好，资金效益明显。</w:t>
      </w:r>
    </w:p>
    <w:p w14:paraId="1C35B2CC">
      <w:pPr>
        <w:keepNext w:val="0"/>
        <w:keepLines w:val="0"/>
        <w:pageBreakBefore w:val="0"/>
        <w:widowControl w:val="0"/>
        <w:numPr>
          <w:ilvl w:val="0"/>
          <w:numId w:val="1"/>
        </w:numPr>
        <w:kinsoku/>
        <w:wordWrap/>
        <w:overflowPunct w:val="0"/>
        <w:topLinePunct/>
        <w:autoSpaceDE w:val="0"/>
        <w:autoSpaceDN w:val="0"/>
        <w:bidi w:val="0"/>
        <w:adjustRightInd w:val="0"/>
        <w:snapToGrid w:val="0"/>
        <w:spacing w:line="560" w:lineRule="exact"/>
        <w:jc w:val="both"/>
        <w:textAlignment w:val="auto"/>
        <w:outlineLvl w:val="9"/>
        <w:rPr>
          <w:rFonts w:hint="eastAsia" w:ascii="黑体" w:hAnsi="黑体" w:eastAsia="黑体" w:cs="黑体"/>
          <w:b/>
          <w:bCs w:val="0"/>
          <w:color w:val="333333"/>
          <w:sz w:val="32"/>
          <w:szCs w:val="32"/>
          <w:lang w:bidi="ar"/>
        </w:rPr>
      </w:pPr>
      <w:r>
        <w:rPr>
          <w:rFonts w:hint="eastAsia" w:ascii="黑体" w:hAnsi="黑体" w:eastAsia="黑体" w:cs="黑体"/>
          <w:b/>
          <w:bCs w:val="0"/>
          <w:color w:val="333333"/>
          <w:sz w:val="32"/>
          <w:szCs w:val="32"/>
          <w:lang w:bidi="ar"/>
        </w:rPr>
        <w:t>部门单位专项组织实施情况</w:t>
      </w:r>
    </w:p>
    <w:p w14:paraId="13111FC5">
      <w:pPr>
        <w:keepNext w:val="0"/>
        <w:keepLines w:val="0"/>
        <w:pageBreakBefore w:val="0"/>
        <w:widowControl w:val="0"/>
        <w:kinsoku/>
        <w:wordWrap/>
        <w:overflowPunct w:val="0"/>
        <w:topLinePunct/>
        <w:autoSpaceDE w:val="0"/>
        <w:autoSpaceDN w:val="0"/>
        <w:bidi w:val="0"/>
        <w:adjustRightInd w:val="0"/>
        <w:snapToGrid/>
        <w:spacing w:line="560" w:lineRule="exact"/>
        <w:ind w:left="0" w:leftChars="0" w:firstLine="643" w:firstLineChars="200"/>
        <w:jc w:val="both"/>
        <w:textAlignment w:val="auto"/>
        <w:outlineLvl w:val="9"/>
        <w:rPr>
          <w:rFonts w:hint="eastAsia" w:ascii="仿宋_GB2312" w:hAnsi="仿宋_GB2312" w:eastAsia="仿宋_GB2312" w:cs="仿宋_GB2312"/>
          <w:b w:val="0"/>
          <w:bCs/>
          <w:sz w:val="32"/>
          <w:szCs w:val="32"/>
        </w:rPr>
      </w:pPr>
      <w:r>
        <w:rPr>
          <w:rFonts w:hint="eastAsia" w:ascii="楷体_GB2312" w:hAnsi="楷体_GB2312" w:eastAsia="楷体_GB2312" w:cs="楷体_GB2312"/>
          <w:b/>
          <w:bCs w:val="0"/>
          <w:sz w:val="32"/>
          <w:szCs w:val="32"/>
        </w:rPr>
        <w:t>（</w:t>
      </w:r>
      <w:r>
        <w:rPr>
          <w:rFonts w:hint="eastAsia" w:ascii="楷体_GB2312" w:hAnsi="楷体_GB2312" w:eastAsia="楷体_GB2312" w:cs="楷体_GB2312"/>
          <w:b/>
          <w:bCs w:val="0"/>
          <w:sz w:val="32"/>
          <w:szCs w:val="32"/>
          <w:lang w:eastAsia="zh-CN"/>
        </w:rPr>
        <w:t>一</w:t>
      </w:r>
      <w:r>
        <w:rPr>
          <w:rFonts w:hint="eastAsia" w:ascii="楷体_GB2312" w:hAnsi="楷体_GB2312" w:eastAsia="楷体_GB2312" w:cs="楷体_GB2312"/>
          <w:b/>
          <w:bCs w:val="0"/>
          <w:sz w:val="32"/>
          <w:szCs w:val="32"/>
        </w:rPr>
        <w:t>）</w:t>
      </w:r>
      <w:r>
        <w:rPr>
          <w:rFonts w:hint="eastAsia" w:ascii="楷体_GB2312" w:hAnsi="楷体_GB2312" w:eastAsia="楷体_GB2312" w:cs="楷体_GB2312"/>
          <w:b w:val="0"/>
          <w:bCs/>
          <w:sz w:val="32"/>
          <w:szCs w:val="32"/>
        </w:rPr>
        <w:t>工作经验。</w:t>
      </w:r>
      <w:r>
        <w:rPr>
          <w:rFonts w:hint="eastAsia" w:ascii="仿宋_GB2312" w:hAnsi="仿宋_GB2312" w:eastAsia="仿宋_GB2312" w:cs="仿宋_GB2312"/>
          <w:b w:val="0"/>
          <w:bCs/>
          <w:sz w:val="32"/>
          <w:szCs w:val="32"/>
        </w:rPr>
        <w:t>一是制度建设是基础。制定《自治区乡村振兴局预算绩效管理办法》，完善项目资金管理、绩效目标监控、绩效评价管理、评价结果应用等各环节管理流程，预算绩效管理有章可循、有规可依。二是从严执行是关键。完善《自治区乡村振兴局预算和财务管理办法》，细化资金支付审批权限及审批流程，强化资金收支的内部控制，确保资金支出的内容和数据真实，各类经济事项符合开支标准和范围，符合效益性和节约性原则。三是过程把控是核心。推行全面预算理念，科学合理编制部门预算，细化部门预算各项经费，分类施控，严格执行。坚持事先预示、事中监控、事后分析，建立从项目预算安排、经费使用、信息反馈、财务分析到项目决算全过程的管理体系，强化预算源头管控和精细化管理，实现对经济活动全程管控，确保所有工作都在预算范围内有序进行。</w:t>
      </w:r>
      <w:r>
        <w:rPr>
          <w:rFonts w:hint="eastAsia" w:ascii="仿宋_GB2312" w:hAnsi="仿宋_GB2312" w:eastAsia="仿宋_GB2312" w:cs="仿宋_GB2312"/>
          <w:b/>
          <w:bCs w:val="0"/>
          <w:sz w:val="32"/>
          <w:szCs w:val="32"/>
        </w:rPr>
        <w:br w:type="textWrapping"/>
      </w:r>
      <w:r>
        <w:rPr>
          <w:rFonts w:hint="eastAsia" w:ascii="仿宋_GB2312" w:hAnsi="仿宋_GB2312" w:eastAsia="仿宋_GB2312" w:cs="仿宋_GB2312"/>
          <w:b/>
          <w:bCs w:val="0"/>
          <w:sz w:val="32"/>
          <w:szCs w:val="32"/>
          <w:lang w:val="en-US" w:eastAsia="zh-CN"/>
        </w:rPr>
        <w:t xml:space="preserve">   </w:t>
      </w:r>
      <w:r>
        <w:rPr>
          <w:rFonts w:hint="eastAsia" w:ascii="楷体_GB2312" w:hAnsi="楷体_GB2312" w:eastAsia="楷体_GB2312" w:cs="楷体_GB2312"/>
          <w:b w:val="0"/>
          <w:bCs/>
          <w:sz w:val="32"/>
          <w:szCs w:val="32"/>
          <w:lang w:val="en-US" w:eastAsia="zh-CN"/>
        </w:rPr>
        <w:t xml:space="preserve"> </w:t>
      </w:r>
      <w:r>
        <w:rPr>
          <w:rFonts w:hint="eastAsia" w:ascii="楷体_GB2312" w:hAnsi="楷体_GB2312" w:eastAsia="楷体_GB2312" w:cs="楷体_GB2312"/>
          <w:b w:val="0"/>
          <w:bCs/>
          <w:sz w:val="32"/>
          <w:szCs w:val="32"/>
        </w:rPr>
        <w:t>（二）存在的问题。</w:t>
      </w:r>
      <w:r>
        <w:rPr>
          <w:rFonts w:hint="eastAsia" w:ascii="仿宋_GB2312" w:hAnsi="仿宋_GB2312" w:eastAsia="仿宋_GB2312" w:cs="仿宋_GB2312"/>
          <w:b w:val="0"/>
          <w:bCs/>
          <w:sz w:val="32"/>
          <w:szCs w:val="32"/>
        </w:rPr>
        <w:t>一是年初部分预算绩效目标设置与实际工作落实结合度不强，绩效评价指标体系还不够完善，绩效评价方法相对单一。二是预算绩效管理理念有待进一步增强，评价工作重视度和质量有待进一步提升，预算绩效管理跟踪监管不够。</w:t>
      </w:r>
      <w:r>
        <w:rPr>
          <w:rFonts w:hint="eastAsia" w:ascii="仿宋_GB2312" w:hAnsi="仿宋_GB2312" w:eastAsia="仿宋_GB2312" w:cs="仿宋_GB2312"/>
          <w:b w:val="0"/>
          <w:bCs/>
          <w:sz w:val="32"/>
          <w:szCs w:val="32"/>
        </w:rPr>
        <w:cr/>
      </w:r>
      <w:r>
        <w:rPr>
          <w:rFonts w:hint="eastAsia" w:ascii="仿宋_GB2312" w:hAnsi="仿宋_GB2312" w:eastAsia="仿宋_GB2312" w:cs="仿宋_GB2312"/>
          <w:b w:val="0"/>
          <w:bCs/>
          <w:sz w:val="32"/>
          <w:szCs w:val="32"/>
          <w:lang w:val="en-US" w:eastAsia="zh-CN"/>
        </w:rPr>
        <w:t xml:space="preserve">    </w:t>
      </w:r>
      <w:r>
        <w:rPr>
          <w:rFonts w:hint="eastAsia" w:ascii="楷体_GB2312" w:hAnsi="楷体_GB2312" w:eastAsia="楷体_GB2312" w:cs="楷体_GB2312"/>
          <w:b w:val="0"/>
          <w:bCs/>
          <w:sz w:val="32"/>
          <w:szCs w:val="32"/>
        </w:rPr>
        <w:t>（三）下一步工作计划。</w:t>
      </w:r>
      <w:r>
        <w:rPr>
          <w:rFonts w:hint="eastAsia" w:ascii="仿宋_GB2312" w:hAnsi="仿宋_GB2312" w:eastAsia="仿宋_GB2312" w:cs="仿宋_GB2312"/>
          <w:b w:val="0"/>
          <w:bCs/>
          <w:sz w:val="32"/>
          <w:szCs w:val="32"/>
        </w:rPr>
        <w:t>一是合理设定绩效评价指标。根据业务工作特性，以项目支出绩效目标设定为切入点，科学、客观、合理编制项目预算绩效目标。深化细化绩效评价三级指标，内容涵盖项目支出的成本、效益、质量等方面，真实全面反映项目全貌。二是优化绩效管理方式。建立预算执行情况季分析通报制度，每季度提交预算执行分析报告，及时跟踪和监督项目预算执行进度和绩效目标实现程度。对预算执行进度较慢的项目，对实施处室、单位进行提醒，督促其及时采取措施纠偏，切实提高预算执行率，促进绩效目标顺利实现。三是强化评价结果应用。对评价过程中发现的问题，进行全面分析，将问题分解落实到各处室、单位，制定整改方案，限期落实整改措施。同时，将绩效自评结果与下一年度预算安排挂钩，不断提升绩效意识和预算管理水平。</w:t>
      </w:r>
    </w:p>
    <w:p w14:paraId="77440205">
      <w:pPr>
        <w:keepNext w:val="0"/>
        <w:keepLines w:val="0"/>
        <w:pageBreakBefore w:val="0"/>
        <w:widowControl w:val="0"/>
        <w:numPr>
          <w:ilvl w:val="0"/>
          <w:numId w:val="1"/>
        </w:numPr>
        <w:kinsoku/>
        <w:wordWrap/>
        <w:overflowPunct w:val="0"/>
        <w:topLinePunct/>
        <w:autoSpaceDE w:val="0"/>
        <w:autoSpaceDN w:val="0"/>
        <w:bidi w:val="0"/>
        <w:adjustRightInd w:val="0"/>
        <w:snapToGrid w:val="0"/>
        <w:spacing w:line="560" w:lineRule="exact"/>
        <w:jc w:val="both"/>
        <w:textAlignment w:val="auto"/>
        <w:outlineLvl w:val="9"/>
        <w:rPr>
          <w:rFonts w:hint="eastAsia" w:ascii="黑体" w:hAnsi="黑体" w:eastAsia="黑体" w:cs="黑体"/>
          <w:b w:val="0"/>
          <w:bCs/>
          <w:color w:val="333333"/>
          <w:sz w:val="32"/>
          <w:szCs w:val="32"/>
          <w:lang w:bidi="ar"/>
        </w:rPr>
      </w:pPr>
      <w:r>
        <w:rPr>
          <w:rFonts w:hint="eastAsia" w:ascii="黑体" w:hAnsi="黑体" w:eastAsia="黑体" w:cs="黑体"/>
          <w:b w:val="0"/>
          <w:bCs/>
          <w:color w:val="333333"/>
          <w:sz w:val="32"/>
          <w:szCs w:val="32"/>
          <w:lang w:eastAsia="zh-CN" w:bidi="ar"/>
        </w:rPr>
        <w:t>评价结论</w:t>
      </w:r>
    </w:p>
    <w:p w14:paraId="6D28B3DB">
      <w:pPr>
        <w:keepNext w:val="0"/>
        <w:keepLines w:val="0"/>
        <w:pageBreakBefore w:val="0"/>
        <w:widowControl w:val="0"/>
        <w:kinsoku/>
        <w:wordWrap/>
        <w:overflowPunct w:val="0"/>
        <w:topLinePunct/>
        <w:autoSpaceDE w:val="0"/>
        <w:autoSpaceDN w:val="0"/>
        <w:bidi w:val="0"/>
        <w:adjustRightInd w:val="0"/>
        <w:spacing w:line="560" w:lineRule="exact"/>
        <w:ind w:firstLine="640" w:firstLineChars="200"/>
        <w:jc w:val="both"/>
        <w:textAlignment w:val="auto"/>
        <w:outlineLvl w:val="9"/>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2024年新疆维吾尔自治区乡村振兴局已达到预期绩效目标.</w:t>
      </w:r>
    </w:p>
    <w:p w14:paraId="392AB8A6">
      <w:pPr>
        <w:keepNext w:val="0"/>
        <w:keepLines w:val="0"/>
        <w:pageBreakBefore w:val="0"/>
        <w:widowControl w:val="0"/>
        <w:numPr>
          <w:ilvl w:val="0"/>
          <w:numId w:val="1"/>
        </w:numPr>
        <w:kinsoku/>
        <w:wordWrap/>
        <w:overflowPunct w:val="0"/>
        <w:topLinePunct/>
        <w:autoSpaceDE w:val="0"/>
        <w:autoSpaceDN w:val="0"/>
        <w:bidi w:val="0"/>
        <w:adjustRightInd w:val="0"/>
        <w:snapToGrid w:val="0"/>
        <w:spacing w:line="560" w:lineRule="exact"/>
        <w:jc w:val="both"/>
        <w:textAlignment w:val="auto"/>
        <w:outlineLvl w:val="9"/>
        <w:rPr>
          <w:rFonts w:hint="eastAsia" w:ascii="黑体" w:hAnsi="黑体" w:eastAsia="黑体" w:cs="黑体"/>
          <w:b w:val="0"/>
          <w:bCs/>
          <w:color w:val="333333"/>
          <w:sz w:val="32"/>
          <w:szCs w:val="32"/>
          <w:lang w:bidi="ar"/>
        </w:rPr>
      </w:pPr>
      <w:r>
        <w:rPr>
          <w:rFonts w:hint="eastAsia" w:ascii="黑体" w:hAnsi="黑体" w:eastAsia="黑体" w:cs="黑体"/>
          <w:b w:val="0"/>
          <w:bCs/>
          <w:i w:val="0"/>
          <w:caps w:val="0"/>
          <w:color w:val="333333"/>
          <w:spacing w:val="0"/>
          <w:sz w:val="32"/>
          <w:szCs w:val="32"/>
          <w:shd w:val="clear" w:fill="FFFFFF"/>
        </w:rPr>
        <w:t>存在的主要问题及原因分析：</w:t>
      </w:r>
    </w:p>
    <w:p w14:paraId="510A9F45">
      <w:pPr>
        <w:keepNext w:val="0"/>
        <w:keepLines w:val="0"/>
        <w:pageBreakBefore w:val="0"/>
        <w:widowControl w:val="0"/>
        <w:kinsoku/>
        <w:wordWrap/>
        <w:overflowPunct w:val="0"/>
        <w:topLinePunct/>
        <w:autoSpaceDE w:val="0"/>
        <w:autoSpaceDN w:val="0"/>
        <w:bidi w:val="0"/>
        <w:adjustRightInd w:val="0"/>
        <w:spacing w:line="560" w:lineRule="exact"/>
        <w:ind w:firstLine="640" w:firstLineChars="200"/>
        <w:jc w:val="both"/>
        <w:textAlignment w:val="auto"/>
        <w:outlineLvl w:val="9"/>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color w:val="333333"/>
          <w:sz w:val="32"/>
          <w:szCs w:val="32"/>
          <w:lang w:bidi="ar"/>
        </w:rPr>
        <w:t xml:space="preserve"> </w:t>
      </w:r>
      <w:r>
        <w:rPr>
          <w:rFonts w:hint="eastAsia" w:ascii="仿宋_GB2312" w:hAnsi="仿宋_GB2312" w:eastAsia="仿宋_GB2312" w:cs="仿宋_GB2312"/>
          <w:b w:val="0"/>
          <w:bCs/>
          <w:sz w:val="32"/>
          <w:szCs w:val="32"/>
        </w:rPr>
        <w:t>一是年初部分预算绩效目标设置与实际工作落实结合度不强，绩效评价指标体系还不够完善，绩效评价方法相对单一。二是预算绩效管理理念有待进一步增强，评价工作重视度和质量有待进一步提升，预算绩效管理跟踪监管不够。</w:t>
      </w:r>
    </w:p>
    <w:p w14:paraId="32D4621C">
      <w:pPr>
        <w:keepNext w:val="0"/>
        <w:keepLines w:val="0"/>
        <w:pageBreakBefore w:val="0"/>
        <w:widowControl w:val="0"/>
        <w:numPr>
          <w:ilvl w:val="0"/>
          <w:numId w:val="1"/>
        </w:numPr>
        <w:kinsoku/>
        <w:wordWrap/>
        <w:overflowPunct w:val="0"/>
        <w:topLinePunct/>
        <w:autoSpaceDE w:val="0"/>
        <w:autoSpaceDN w:val="0"/>
        <w:bidi w:val="0"/>
        <w:adjustRightInd w:val="0"/>
        <w:snapToGrid w:val="0"/>
        <w:spacing w:line="560" w:lineRule="exact"/>
        <w:jc w:val="both"/>
        <w:textAlignment w:val="auto"/>
        <w:outlineLvl w:val="9"/>
        <w:rPr>
          <w:rFonts w:hint="eastAsia" w:ascii="黑体" w:hAnsi="黑体" w:eastAsia="黑体" w:cs="黑体"/>
          <w:b w:val="0"/>
          <w:bCs/>
          <w:i w:val="0"/>
          <w:caps w:val="0"/>
          <w:color w:val="333333"/>
          <w:spacing w:val="0"/>
          <w:sz w:val="32"/>
          <w:szCs w:val="32"/>
          <w:shd w:val="clear" w:fill="FFFFFF"/>
        </w:rPr>
      </w:pPr>
      <w:r>
        <w:rPr>
          <w:rFonts w:hint="eastAsia" w:ascii="黑体" w:hAnsi="黑体" w:eastAsia="黑体" w:cs="黑体"/>
          <w:b w:val="0"/>
          <w:bCs/>
          <w:i w:val="0"/>
          <w:caps w:val="0"/>
          <w:color w:val="333333"/>
          <w:spacing w:val="0"/>
          <w:sz w:val="32"/>
          <w:szCs w:val="32"/>
          <w:shd w:val="clear" w:fill="FFFFFF"/>
        </w:rPr>
        <w:t>改进措施和建议</w:t>
      </w:r>
    </w:p>
    <w:p w14:paraId="4655B89E">
      <w:pPr>
        <w:keepNext w:val="0"/>
        <w:keepLines w:val="0"/>
        <w:pageBreakBefore w:val="0"/>
        <w:widowControl w:val="0"/>
        <w:kinsoku/>
        <w:wordWrap/>
        <w:overflowPunct w:val="0"/>
        <w:topLinePunct/>
        <w:autoSpaceDE w:val="0"/>
        <w:autoSpaceDN w:val="0"/>
        <w:bidi w:val="0"/>
        <w:adjustRightInd w:val="0"/>
        <w:spacing w:line="560" w:lineRule="exact"/>
        <w:ind w:firstLine="640" w:firstLineChars="200"/>
        <w:jc w:val="both"/>
        <w:textAlignment w:val="auto"/>
        <w:outlineLvl w:val="9"/>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一是继续加强绩效评价工作的培训指导，使预算编制更加符合绩效评价相关要求，强化资金使用效益。二是强化项目监督管理，把好项目执行进度和质量关，加强督促检查，实施全程监管。</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9703BB8"/>
    <w:multiLevelType w:val="multilevel"/>
    <w:tmpl w:val="69703BB8"/>
    <w:lvl w:ilvl="0" w:tentative="0">
      <w:start w:val="1"/>
      <w:numFmt w:val="japaneseCounting"/>
      <w:lvlText w:val="%1、"/>
      <w:lvlJc w:val="left"/>
      <w:pPr>
        <w:ind w:left="1368" w:hanging="720"/>
      </w:pPr>
      <w:rPr>
        <w:rFonts w:hint="default"/>
      </w:rPr>
    </w:lvl>
    <w:lvl w:ilvl="1" w:tentative="0">
      <w:start w:val="1"/>
      <w:numFmt w:val="lowerLetter"/>
      <w:lvlText w:val="%2)"/>
      <w:lvlJc w:val="left"/>
      <w:pPr>
        <w:ind w:left="1488" w:hanging="420"/>
      </w:pPr>
    </w:lvl>
    <w:lvl w:ilvl="2" w:tentative="0">
      <w:start w:val="1"/>
      <w:numFmt w:val="lowerRoman"/>
      <w:lvlText w:val="%3."/>
      <w:lvlJc w:val="right"/>
      <w:pPr>
        <w:ind w:left="1908" w:hanging="420"/>
      </w:pPr>
    </w:lvl>
    <w:lvl w:ilvl="3" w:tentative="0">
      <w:start w:val="1"/>
      <w:numFmt w:val="decimal"/>
      <w:lvlText w:val="%4."/>
      <w:lvlJc w:val="left"/>
      <w:pPr>
        <w:ind w:left="2328" w:hanging="420"/>
      </w:pPr>
    </w:lvl>
    <w:lvl w:ilvl="4" w:tentative="0">
      <w:start w:val="1"/>
      <w:numFmt w:val="lowerLetter"/>
      <w:lvlText w:val="%5)"/>
      <w:lvlJc w:val="left"/>
      <w:pPr>
        <w:ind w:left="2748" w:hanging="420"/>
      </w:pPr>
    </w:lvl>
    <w:lvl w:ilvl="5" w:tentative="0">
      <w:start w:val="1"/>
      <w:numFmt w:val="lowerRoman"/>
      <w:lvlText w:val="%6."/>
      <w:lvlJc w:val="right"/>
      <w:pPr>
        <w:ind w:left="3168" w:hanging="420"/>
      </w:pPr>
    </w:lvl>
    <w:lvl w:ilvl="6" w:tentative="0">
      <w:start w:val="1"/>
      <w:numFmt w:val="decimal"/>
      <w:lvlText w:val="%7."/>
      <w:lvlJc w:val="left"/>
      <w:pPr>
        <w:ind w:left="3588" w:hanging="420"/>
      </w:pPr>
    </w:lvl>
    <w:lvl w:ilvl="7" w:tentative="0">
      <w:start w:val="1"/>
      <w:numFmt w:val="lowerLetter"/>
      <w:lvlText w:val="%8)"/>
      <w:lvlJc w:val="left"/>
      <w:pPr>
        <w:ind w:left="4008" w:hanging="420"/>
      </w:pPr>
    </w:lvl>
    <w:lvl w:ilvl="8" w:tentative="0">
      <w:start w:val="1"/>
      <w:numFmt w:val="lowerRoman"/>
      <w:lvlText w:val="%9."/>
      <w:lvlJc w:val="right"/>
      <w:pPr>
        <w:ind w:left="4428"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3604"/>
    <w:rsid w:val="001C7F2C"/>
    <w:rsid w:val="00340E58"/>
    <w:rsid w:val="003E45AA"/>
    <w:rsid w:val="00584481"/>
    <w:rsid w:val="00653C1A"/>
    <w:rsid w:val="007B51CE"/>
    <w:rsid w:val="007E47F4"/>
    <w:rsid w:val="008F0DCE"/>
    <w:rsid w:val="00916058"/>
    <w:rsid w:val="00AB72C1"/>
    <w:rsid w:val="00C10BB4"/>
    <w:rsid w:val="00CE0C6C"/>
    <w:rsid w:val="00DB647F"/>
    <w:rsid w:val="00DC7E33"/>
    <w:rsid w:val="00E8616A"/>
    <w:rsid w:val="00EB3604"/>
    <w:rsid w:val="0314578A"/>
    <w:rsid w:val="12350D4C"/>
    <w:rsid w:val="13751AD3"/>
    <w:rsid w:val="284D6ACA"/>
    <w:rsid w:val="376016E5"/>
    <w:rsid w:val="55C3276D"/>
    <w:rsid w:val="78C952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4942</Words>
  <Characters>5310</Characters>
  <Lines>2</Lines>
  <Paragraphs>1</Paragraphs>
  <TotalTime>16</TotalTime>
  <ScaleCrop>false</ScaleCrop>
  <LinksUpToDate>false</LinksUpToDate>
  <CharactersWithSpaces>5373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2020-06-04T05:22:00Z</dcterms:created>
  <dc:creator>hongbing liu</dc:creator>
  <cp:lastModifiedBy>马振国  18129438682</cp:lastModifiedBy>
  <dcterms:modified xsi:type="dcterms:W3CDTF">2025-09-01T09:45:57Z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eyJoZGlkIjoiYWJmNTAxYTA0NTllZTU0OWY5NWY0MWNlMzBjNGU2OTYiLCJ1c2VySWQiOiI3NDY1ODU0ODQifQ==</vt:lpwstr>
  </property>
  <property fmtid="{D5CDD505-2E9C-101B-9397-08002B2CF9AE}" pid="4" name="ICV">
    <vt:lpwstr>B65E2D04E3C24BC992EBEE624725D3F3_12</vt:lpwstr>
  </property>
</Properties>
</file>